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C9F24F" w14:textId="77777777" w:rsidR="00BC02F5" w:rsidRPr="00754466" w:rsidRDefault="00BC02F5" w:rsidP="00BC02F5">
      <w:pPr>
        <w:widowControl w:val="0"/>
        <w:autoSpaceDE w:val="0"/>
        <w:autoSpaceDN w:val="0"/>
        <w:adjustRightInd w:val="0"/>
        <w:rPr>
          <w:rFonts w:ascii="Times" w:hAnsi="Times" w:cs="Times"/>
          <w:sz w:val="22"/>
          <w:szCs w:val="32"/>
        </w:rPr>
      </w:pPr>
    </w:p>
    <w:tbl>
      <w:tblPr>
        <w:tblW w:w="13200" w:type="dxa"/>
        <w:tblInd w:w="-1414" w:type="dxa"/>
        <w:tblBorders>
          <w:top w:val="nil"/>
          <w:left w:val="nil"/>
          <w:right w:val="nil"/>
        </w:tblBorders>
        <w:tblLayout w:type="fixed"/>
        <w:tblCellMar>
          <w:left w:w="0" w:type="dxa"/>
          <w:right w:w="0" w:type="dxa"/>
        </w:tblCellMar>
        <w:tblLook w:val="0000" w:firstRow="0" w:lastRow="0" w:firstColumn="0" w:lastColumn="0" w:noHBand="0" w:noVBand="0"/>
      </w:tblPr>
      <w:tblGrid>
        <w:gridCol w:w="13200"/>
      </w:tblGrid>
      <w:tr w:rsidR="00BC02F5" w:rsidRPr="00754466" w14:paraId="0C4473E1" w14:textId="77777777" w:rsidTr="00BC02F5">
        <w:tblPrEx>
          <w:tblCellMar>
            <w:top w:w="0" w:type="dxa"/>
            <w:left w:w="0" w:type="dxa"/>
            <w:bottom w:w="0" w:type="dxa"/>
            <w:right w:w="0" w:type="dxa"/>
          </w:tblCellMar>
        </w:tblPrEx>
        <w:tc>
          <w:tcPr>
            <w:tcW w:w="13200" w:type="dxa"/>
            <w:tcBorders>
              <w:top w:val="nil"/>
              <w:left w:val="nil"/>
              <w:bottom w:val="nil"/>
              <w:right w:val="nil"/>
            </w:tcBorders>
            <w:vAlign w:val="center"/>
          </w:tcPr>
          <w:p w14:paraId="05619958" w14:textId="77777777" w:rsidR="00BC02F5" w:rsidRPr="00754466" w:rsidRDefault="00BC02F5" w:rsidP="00BC02F5">
            <w:pPr>
              <w:widowControl w:val="0"/>
              <w:tabs>
                <w:tab w:val="left" w:pos="109"/>
                <w:tab w:val="left" w:pos="251"/>
              </w:tabs>
              <w:autoSpaceDE w:val="0"/>
              <w:autoSpaceDN w:val="0"/>
              <w:adjustRightInd w:val="0"/>
              <w:ind w:left="251"/>
              <w:rPr>
                <w:rFonts w:ascii="Times" w:hAnsi="Times" w:cs="Times"/>
                <w:sz w:val="22"/>
                <w:szCs w:val="32"/>
              </w:rPr>
            </w:pPr>
            <w:r w:rsidRPr="00754466">
              <w:rPr>
                <w:rFonts w:ascii="Times" w:hAnsi="Times" w:cs="Times"/>
                <w:noProof/>
                <w:sz w:val="22"/>
                <w:szCs w:val="32"/>
                <w:lang w:eastAsia="es-ES_tradnl"/>
              </w:rPr>
              <w:drawing>
                <wp:inline distT="0" distB="0" distL="0" distR="0" wp14:anchorId="0C89B967" wp14:editId="1A9A4A1C">
                  <wp:extent cx="8380095" cy="427990"/>
                  <wp:effectExtent l="0" t="0" r="1905"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380095" cy="427990"/>
                          </a:xfrm>
                          <a:prstGeom prst="rect">
                            <a:avLst/>
                          </a:prstGeom>
                          <a:noFill/>
                          <a:ln>
                            <a:noFill/>
                          </a:ln>
                        </pic:spPr>
                      </pic:pic>
                    </a:graphicData>
                  </a:graphic>
                </wp:inline>
              </w:drawing>
            </w:r>
          </w:p>
        </w:tc>
      </w:tr>
    </w:tbl>
    <w:p w14:paraId="139D3043" w14:textId="77777777" w:rsidR="00BC02F5" w:rsidRPr="00BC02F5" w:rsidRDefault="00BC02F5" w:rsidP="00BC02F5">
      <w:pPr>
        <w:rPr>
          <w:rFonts w:ascii="Times New Roman" w:eastAsia="Times New Roman" w:hAnsi="Times New Roman" w:cs="Times New Roman"/>
          <w:sz w:val="20"/>
          <w:lang w:eastAsia="es-ES_tradnl"/>
        </w:rPr>
      </w:pPr>
    </w:p>
    <w:tbl>
      <w:tblPr>
        <w:tblW w:w="5227" w:type="pct"/>
        <w:tblCellSpacing w:w="0" w:type="dxa"/>
        <w:tblCellMar>
          <w:left w:w="0" w:type="dxa"/>
          <w:right w:w="0" w:type="dxa"/>
        </w:tblCellMar>
        <w:tblLook w:val="04A0" w:firstRow="1" w:lastRow="0" w:firstColumn="1" w:lastColumn="0" w:noHBand="0" w:noVBand="1"/>
      </w:tblPr>
      <w:tblGrid>
        <w:gridCol w:w="10069"/>
      </w:tblGrid>
      <w:tr w:rsidR="00DA26EA" w:rsidRPr="00BC02F5" w14:paraId="777688E8" w14:textId="77777777" w:rsidTr="00DA26EA">
        <w:trPr>
          <w:tblCellSpacing w:w="0" w:type="dxa"/>
        </w:trPr>
        <w:tc>
          <w:tcPr>
            <w:tcW w:w="5000" w:type="pct"/>
            <w:hideMark/>
          </w:tcPr>
          <w:tbl>
            <w:tblPr>
              <w:tblW w:w="5000" w:type="pct"/>
              <w:tblCellSpacing w:w="0" w:type="dxa"/>
              <w:shd w:val="clear" w:color="auto" w:fill="F9BA02"/>
              <w:tblCellMar>
                <w:top w:w="15" w:type="dxa"/>
                <w:left w:w="15" w:type="dxa"/>
                <w:bottom w:w="15" w:type="dxa"/>
                <w:right w:w="15" w:type="dxa"/>
              </w:tblCellMar>
              <w:tblLook w:val="04A0" w:firstRow="1" w:lastRow="0" w:firstColumn="1" w:lastColumn="0" w:noHBand="0" w:noVBand="1"/>
            </w:tblPr>
            <w:tblGrid>
              <w:gridCol w:w="10069"/>
            </w:tblGrid>
            <w:tr w:rsidR="00BC02F5" w:rsidRPr="00BC02F5" w14:paraId="17A7A1F6" w14:textId="77777777" w:rsidTr="00DA26EA">
              <w:trPr>
                <w:trHeight w:val="159"/>
                <w:tblCellSpacing w:w="0" w:type="dxa"/>
              </w:trPr>
              <w:tc>
                <w:tcPr>
                  <w:tcW w:w="0" w:type="auto"/>
                  <w:shd w:val="clear" w:color="auto" w:fill="F9BA02"/>
                  <w:vAlign w:val="center"/>
                  <w:hideMark/>
                </w:tcPr>
                <w:p w14:paraId="10513D41" w14:textId="77777777" w:rsidR="00BC02F5" w:rsidRPr="00BC02F5" w:rsidRDefault="00BC02F5" w:rsidP="00BC02F5">
                  <w:pPr>
                    <w:spacing w:before="100" w:beforeAutospacing="1" w:after="100" w:afterAutospacing="1"/>
                    <w:jc w:val="center"/>
                    <w:rPr>
                      <w:rFonts w:ascii="Verdana" w:hAnsi="Verdana" w:cs="Times New Roman"/>
                      <w:color w:val="000000"/>
                      <w:sz w:val="16"/>
                      <w:szCs w:val="18"/>
                      <w:lang w:eastAsia="es-ES_tradnl"/>
                    </w:rPr>
                  </w:pPr>
                  <w:r w:rsidRPr="00DA26EA">
                    <w:rPr>
                      <w:rFonts w:ascii="Verdana" w:hAnsi="Verdana" w:cs="Times New Roman"/>
                      <w:b/>
                      <w:bCs/>
                      <w:color w:val="9F007D"/>
                      <w:sz w:val="16"/>
                      <w:szCs w:val="18"/>
                      <w:lang w:eastAsia="es-ES_tradnl"/>
                    </w:rPr>
                    <w:t>MARCO INTERNACIONAL DE PROTECCIÓN DE LOS DERECHOS DE LAS MUJERES</w:t>
                  </w:r>
                </w:p>
              </w:tc>
            </w:tr>
          </w:tbl>
          <w:p w14:paraId="14FD0873" w14:textId="77777777" w:rsidR="00BC02F5" w:rsidRPr="00BC02F5" w:rsidRDefault="00BC02F5" w:rsidP="00BC02F5">
            <w:pPr>
              <w:rPr>
                <w:rFonts w:ascii="-webkit-standard" w:eastAsia="Times New Roman" w:hAnsi="-webkit-standard" w:cs="Times New Roman"/>
                <w:sz w:val="22"/>
                <w:lang w:eastAsia="es-ES_tradnl"/>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4982"/>
              <w:gridCol w:w="95"/>
              <w:gridCol w:w="4992"/>
            </w:tblGrid>
            <w:tr w:rsidR="00BC02F5" w:rsidRPr="00BC02F5" w14:paraId="1D41F17A" w14:textId="77777777" w:rsidTr="00E634EC">
              <w:trPr>
                <w:trHeight w:val="536"/>
                <w:tblCellSpacing w:w="0" w:type="dxa"/>
              </w:trPr>
              <w:tc>
                <w:tcPr>
                  <w:tcW w:w="2474" w:type="pct"/>
                  <w:hideMark/>
                </w:tcPr>
                <w:p w14:paraId="4A39F274" w14:textId="77777777" w:rsidR="00BC02F5" w:rsidRPr="00BC02F5" w:rsidRDefault="00BC02F5" w:rsidP="00BC02F5">
                  <w:pPr>
                    <w:spacing w:before="100" w:beforeAutospacing="1" w:after="100" w:afterAutospacing="1"/>
                    <w:rPr>
                      <w:rFonts w:ascii="Verdana" w:hAnsi="Verdana" w:cs="Times New Roman"/>
                      <w:color w:val="9F007D"/>
                      <w:sz w:val="16"/>
                      <w:szCs w:val="18"/>
                      <w:lang w:eastAsia="es-ES_tradnl"/>
                    </w:rPr>
                  </w:pPr>
                  <w:r w:rsidRPr="00BC02F5">
                    <w:rPr>
                      <w:rFonts w:ascii="Verdana" w:hAnsi="Verdana" w:cs="Times New Roman"/>
                      <w:color w:val="9F007D"/>
                      <w:sz w:val="16"/>
                      <w:szCs w:val="18"/>
                      <w:lang w:eastAsia="es-ES_tradnl"/>
                    </w:rPr>
                    <w:t>Declaración Universal de Derechos Humanos</w:t>
                  </w:r>
                </w:p>
              </w:tc>
              <w:tc>
                <w:tcPr>
                  <w:tcW w:w="47" w:type="pct"/>
                  <w:hideMark/>
                </w:tcPr>
                <w:p w14:paraId="2C171B57" w14:textId="77777777" w:rsidR="00BC02F5" w:rsidRPr="00BC02F5" w:rsidRDefault="00BC02F5" w:rsidP="00BC02F5">
                  <w:pPr>
                    <w:rPr>
                      <w:rFonts w:ascii="Times New Roman" w:eastAsia="Times New Roman" w:hAnsi="Times New Roman" w:cs="Times New Roman"/>
                      <w:sz w:val="22"/>
                      <w:lang w:eastAsia="es-ES_tradnl"/>
                    </w:rPr>
                  </w:pPr>
                  <w:r w:rsidRPr="00BC02F5">
                    <w:rPr>
                      <w:rFonts w:ascii="Times New Roman" w:eastAsia="Times New Roman" w:hAnsi="Times New Roman" w:cs="Times New Roman"/>
                      <w:sz w:val="22"/>
                      <w:lang w:eastAsia="es-ES_tradnl"/>
                    </w:rPr>
                    <w:t> </w:t>
                  </w:r>
                </w:p>
              </w:tc>
              <w:tc>
                <w:tcPr>
                  <w:tcW w:w="2479" w:type="pct"/>
                  <w:hideMark/>
                </w:tcPr>
                <w:p w14:paraId="0D80B239" w14:textId="0288BB01" w:rsidR="00BC02F5" w:rsidRPr="00BC02F5" w:rsidRDefault="00BC02F5" w:rsidP="00E634EC">
                  <w:pPr>
                    <w:rPr>
                      <w:rFonts w:ascii="Times New Roman" w:eastAsia="Times New Roman" w:hAnsi="Times New Roman" w:cs="Times New Roman"/>
                      <w:sz w:val="22"/>
                      <w:lang w:eastAsia="es-ES_tradnl"/>
                    </w:rPr>
                  </w:pPr>
                  <w:r w:rsidRPr="00DA26EA">
                    <w:rPr>
                      <w:rFonts w:ascii="Verdana" w:eastAsia="Times New Roman" w:hAnsi="Verdana" w:cs="Times New Roman"/>
                      <w:color w:val="000000"/>
                      <w:sz w:val="16"/>
                      <w:szCs w:val="18"/>
                      <w:lang w:eastAsia="es-ES_tradnl"/>
                    </w:rPr>
                    <w:t>El 10 de diciembre de 1948, la Asamblea General de las Naciones Unidas aprobó y proclamó la Declaración Universal de Derechos Humanos. El documento se compone de un preámbulo y treinta artículos, que recogen derechos de carácter civil, político, social, económico y cultural considerados básicos y universales.</w:t>
                  </w:r>
                </w:p>
              </w:tc>
            </w:tr>
            <w:tr w:rsidR="00BC02F5" w:rsidRPr="00BC02F5" w14:paraId="42D617D3" w14:textId="77777777" w:rsidTr="005D55F4">
              <w:trPr>
                <w:tblCellSpacing w:w="0" w:type="dxa"/>
              </w:trPr>
              <w:tc>
                <w:tcPr>
                  <w:tcW w:w="2474" w:type="pct"/>
                  <w:hideMark/>
                </w:tcPr>
                <w:p w14:paraId="05D994B7" w14:textId="77777777" w:rsidR="00BC02F5" w:rsidRPr="00BC02F5" w:rsidRDefault="00BC02F5" w:rsidP="00BC02F5">
                  <w:pPr>
                    <w:rPr>
                      <w:rFonts w:ascii="Times New Roman" w:eastAsia="Times New Roman" w:hAnsi="Times New Roman" w:cs="Times New Roman"/>
                      <w:sz w:val="22"/>
                      <w:lang w:eastAsia="es-ES_tradnl"/>
                    </w:rPr>
                  </w:pPr>
                </w:p>
              </w:tc>
              <w:tc>
                <w:tcPr>
                  <w:tcW w:w="47" w:type="pct"/>
                  <w:hideMark/>
                </w:tcPr>
                <w:p w14:paraId="072AD739" w14:textId="77777777" w:rsidR="00BC02F5" w:rsidRPr="00BC02F5" w:rsidRDefault="00BC02F5" w:rsidP="00BC02F5">
                  <w:pPr>
                    <w:rPr>
                      <w:rFonts w:ascii="Times New Roman" w:eastAsia="Times New Roman" w:hAnsi="Times New Roman" w:cs="Times New Roman"/>
                      <w:sz w:val="18"/>
                      <w:szCs w:val="20"/>
                      <w:lang w:eastAsia="es-ES_tradnl"/>
                    </w:rPr>
                  </w:pPr>
                </w:p>
              </w:tc>
              <w:tc>
                <w:tcPr>
                  <w:tcW w:w="0" w:type="auto"/>
                  <w:hideMark/>
                </w:tcPr>
                <w:p w14:paraId="118F55AA" w14:textId="77777777" w:rsidR="00BC02F5" w:rsidRPr="00BC02F5" w:rsidRDefault="00BC02F5" w:rsidP="00BC02F5">
                  <w:pPr>
                    <w:rPr>
                      <w:rFonts w:ascii="Times New Roman" w:eastAsia="Times New Roman" w:hAnsi="Times New Roman" w:cs="Times New Roman"/>
                      <w:sz w:val="18"/>
                      <w:szCs w:val="20"/>
                      <w:lang w:eastAsia="es-ES_tradnl"/>
                    </w:rPr>
                  </w:pPr>
                </w:p>
              </w:tc>
            </w:tr>
            <w:tr w:rsidR="00BC02F5" w:rsidRPr="00BC02F5" w14:paraId="26BBC0EA" w14:textId="77777777" w:rsidTr="00E634EC">
              <w:trPr>
                <w:trHeight w:val="1193"/>
                <w:tblCellSpacing w:w="0" w:type="dxa"/>
              </w:trPr>
              <w:tc>
                <w:tcPr>
                  <w:tcW w:w="2474" w:type="pct"/>
                  <w:hideMark/>
                </w:tcPr>
                <w:p w14:paraId="2A5CD4EB" w14:textId="77777777" w:rsidR="00BC02F5" w:rsidRPr="00BC02F5" w:rsidRDefault="00BC02F5" w:rsidP="00BC02F5">
                  <w:pPr>
                    <w:spacing w:before="100" w:beforeAutospacing="1" w:after="100" w:afterAutospacing="1"/>
                    <w:rPr>
                      <w:rFonts w:ascii="Verdana" w:hAnsi="Verdana" w:cs="Times New Roman"/>
                      <w:color w:val="9F007D"/>
                      <w:sz w:val="16"/>
                      <w:szCs w:val="18"/>
                      <w:lang w:eastAsia="es-ES_tradnl"/>
                    </w:rPr>
                  </w:pPr>
                  <w:r w:rsidRPr="00BC02F5">
                    <w:rPr>
                      <w:rFonts w:ascii="Verdana" w:hAnsi="Verdana" w:cs="Times New Roman"/>
                      <w:color w:val="9F007D"/>
                      <w:sz w:val="16"/>
                      <w:szCs w:val="18"/>
                      <w:lang w:eastAsia="es-ES_tradnl"/>
                    </w:rPr>
                    <w:t>Declaración sobre la Protección de la Mujer y el Niño en estados de emergencia o en conflicto armado</w:t>
                  </w:r>
                  <w:r w:rsidRPr="00DA26EA">
                    <w:rPr>
                      <w:rFonts w:ascii="Verdana" w:hAnsi="Verdana" w:cs="Times New Roman"/>
                      <w:color w:val="9F007D"/>
                      <w:sz w:val="16"/>
                      <w:szCs w:val="18"/>
                      <w:lang w:eastAsia="es-ES_tradnl"/>
                    </w:rPr>
                    <w:t> </w:t>
                  </w:r>
                  <w:r w:rsidRPr="00BC02F5">
                    <w:rPr>
                      <w:rFonts w:ascii="Verdana" w:hAnsi="Verdana" w:cs="Times New Roman"/>
                      <w:color w:val="9F007D"/>
                      <w:sz w:val="16"/>
                      <w:szCs w:val="18"/>
                      <w:lang w:eastAsia="es-ES_tradnl"/>
                    </w:rPr>
                    <w:br/>
                    <w:t>1974</w:t>
                  </w:r>
                  <w:r w:rsidRPr="00DA26EA">
                    <w:rPr>
                      <w:rFonts w:ascii="Verdana" w:hAnsi="Verdana" w:cs="Times New Roman"/>
                      <w:color w:val="9F007D"/>
                      <w:sz w:val="16"/>
                      <w:szCs w:val="18"/>
                      <w:lang w:eastAsia="es-ES_tradnl"/>
                    </w:rPr>
                    <w:t> </w:t>
                  </w:r>
                </w:p>
              </w:tc>
              <w:tc>
                <w:tcPr>
                  <w:tcW w:w="47" w:type="pct"/>
                  <w:hideMark/>
                </w:tcPr>
                <w:p w14:paraId="4660F7FD" w14:textId="77777777" w:rsidR="00BC02F5" w:rsidRPr="00BC02F5" w:rsidRDefault="00BC02F5" w:rsidP="00BC02F5">
                  <w:pPr>
                    <w:rPr>
                      <w:rFonts w:ascii="Times New Roman" w:eastAsia="Times New Roman" w:hAnsi="Times New Roman" w:cs="Times New Roman"/>
                      <w:sz w:val="22"/>
                      <w:lang w:eastAsia="es-ES_tradnl"/>
                    </w:rPr>
                  </w:pPr>
                  <w:r w:rsidRPr="00BC02F5">
                    <w:rPr>
                      <w:rFonts w:ascii="Times New Roman" w:eastAsia="Times New Roman" w:hAnsi="Times New Roman" w:cs="Times New Roman"/>
                      <w:sz w:val="22"/>
                      <w:lang w:eastAsia="es-ES_tradnl"/>
                    </w:rPr>
                    <w:t> </w:t>
                  </w:r>
                </w:p>
              </w:tc>
              <w:tc>
                <w:tcPr>
                  <w:tcW w:w="2479" w:type="pct"/>
                  <w:hideMark/>
                </w:tcPr>
                <w:p w14:paraId="11167CBB" w14:textId="77777777" w:rsidR="00BC02F5" w:rsidRPr="00BC02F5" w:rsidRDefault="00BC02F5" w:rsidP="00E634EC">
                  <w:pPr>
                    <w:ind w:right="-586"/>
                    <w:rPr>
                      <w:rFonts w:ascii="Times New Roman" w:eastAsia="Times New Roman" w:hAnsi="Times New Roman" w:cs="Times New Roman"/>
                      <w:sz w:val="22"/>
                      <w:lang w:eastAsia="es-ES_tradnl"/>
                    </w:rPr>
                  </w:pPr>
                  <w:r w:rsidRPr="00DA26EA">
                    <w:rPr>
                      <w:rFonts w:ascii="Verdana" w:eastAsia="Times New Roman" w:hAnsi="Verdana" w:cs="Times New Roman"/>
                      <w:color w:val="000000"/>
                      <w:sz w:val="16"/>
                      <w:szCs w:val="18"/>
                      <w:lang w:eastAsia="es-ES_tradnl"/>
                    </w:rPr>
                    <w:t>Proclamada por la Asamblea General el 14 de diciembre de 1974, la Declaración reconoce que las mujeres y los niños y niñas son la población más vulnerable durante los conflictos armados. Recuerda y refuerza la obligación estatal de promoción y protección de sus derechos. </w:t>
                  </w:r>
                  <w:r w:rsidRPr="00BC02F5">
                    <w:rPr>
                      <w:rFonts w:ascii="Times New Roman" w:eastAsia="Times New Roman" w:hAnsi="Times New Roman" w:cs="Times New Roman"/>
                      <w:sz w:val="22"/>
                      <w:lang w:eastAsia="es-ES_tradnl"/>
                    </w:rPr>
                    <w:br/>
                  </w:r>
                  <w:hyperlink r:id="rId5" w:tgtFrame="_blank" w:history="1">
                    <w:r w:rsidRPr="00DA26EA">
                      <w:rPr>
                        <w:rFonts w:ascii="Verdana" w:eastAsia="Times New Roman" w:hAnsi="Verdana" w:cs="Times New Roman"/>
                        <w:color w:val="9F007D"/>
                        <w:sz w:val="16"/>
                        <w:szCs w:val="18"/>
                        <w:u w:val="single"/>
                        <w:lang w:eastAsia="es-ES_tradnl"/>
                      </w:rPr>
                      <w:t>Consultar</w:t>
                    </w:r>
                  </w:hyperlink>
                </w:p>
              </w:tc>
            </w:tr>
            <w:tr w:rsidR="00BC02F5" w:rsidRPr="00BC02F5" w14:paraId="77FB3E47" w14:textId="77777777" w:rsidTr="005D55F4">
              <w:trPr>
                <w:tblCellSpacing w:w="0" w:type="dxa"/>
              </w:trPr>
              <w:tc>
                <w:tcPr>
                  <w:tcW w:w="2474" w:type="pct"/>
                  <w:hideMark/>
                </w:tcPr>
                <w:p w14:paraId="0BE4A694" w14:textId="77777777" w:rsidR="00BC02F5" w:rsidRPr="00BC02F5" w:rsidRDefault="00BC02F5" w:rsidP="00BC02F5">
                  <w:pPr>
                    <w:rPr>
                      <w:rFonts w:ascii="Times New Roman" w:eastAsia="Times New Roman" w:hAnsi="Times New Roman" w:cs="Times New Roman"/>
                      <w:sz w:val="22"/>
                      <w:lang w:eastAsia="es-ES_tradnl"/>
                    </w:rPr>
                  </w:pPr>
                </w:p>
              </w:tc>
              <w:tc>
                <w:tcPr>
                  <w:tcW w:w="47" w:type="pct"/>
                  <w:hideMark/>
                </w:tcPr>
                <w:p w14:paraId="5DD73FE0" w14:textId="77777777" w:rsidR="00BC02F5" w:rsidRPr="00BC02F5" w:rsidRDefault="00BC02F5" w:rsidP="00BC02F5">
                  <w:pPr>
                    <w:rPr>
                      <w:rFonts w:ascii="Times New Roman" w:eastAsia="Times New Roman" w:hAnsi="Times New Roman" w:cs="Times New Roman"/>
                      <w:sz w:val="18"/>
                      <w:szCs w:val="20"/>
                      <w:lang w:eastAsia="es-ES_tradnl"/>
                    </w:rPr>
                  </w:pPr>
                </w:p>
              </w:tc>
              <w:tc>
                <w:tcPr>
                  <w:tcW w:w="0" w:type="auto"/>
                  <w:hideMark/>
                </w:tcPr>
                <w:p w14:paraId="25BA527D" w14:textId="77777777" w:rsidR="00BC02F5" w:rsidRPr="00BC02F5" w:rsidRDefault="00BC02F5" w:rsidP="00BC02F5">
                  <w:pPr>
                    <w:rPr>
                      <w:rFonts w:ascii="Times New Roman" w:eastAsia="Times New Roman" w:hAnsi="Times New Roman" w:cs="Times New Roman"/>
                      <w:sz w:val="18"/>
                      <w:szCs w:val="20"/>
                      <w:lang w:eastAsia="es-ES_tradnl"/>
                    </w:rPr>
                  </w:pPr>
                </w:p>
              </w:tc>
            </w:tr>
            <w:tr w:rsidR="00BC02F5" w:rsidRPr="00BC02F5" w14:paraId="37FD5B3E" w14:textId="77777777" w:rsidTr="005D55F4">
              <w:trPr>
                <w:tblCellSpacing w:w="0" w:type="dxa"/>
              </w:trPr>
              <w:tc>
                <w:tcPr>
                  <w:tcW w:w="2474" w:type="pct"/>
                  <w:hideMark/>
                </w:tcPr>
                <w:p w14:paraId="7C9124D2" w14:textId="77777777" w:rsidR="00BC02F5" w:rsidRPr="00BC02F5" w:rsidRDefault="00BC02F5" w:rsidP="00BC02F5">
                  <w:pPr>
                    <w:spacing w:before="100" w:beforeAutospacing="1" w:after="100" w:afterAutospacing="1"/>
                    <w:rPr>
                      <w:rFonts w:ascii="Verdana" w:hAnsi="Verdana" w:cs="Times New Roman"/>
                      <w:color w:val="9F007D"/>
                      <w:sz w:val="16"/>
                      <w:szCs w:val="18"/>
                      <w:lang w:eastAsia="es-ES_tradnl"/>
                    </w:rPr>
                  </w:pPr>
                  <w:r w:rsidRPr="00BC02F5">
                    <w:rPr>
                      <w:rFonts w:ascii="Verdana" w:hAnsi="Verdana" w:cs="Times New Roman"/>
                      <w:color w:val="9F007D"/>
                      <w:sz w:val="16"/>
                      <w:szCs w:val="18"/>
                      <w:lang w:eastAsia="es-ES_tradnl"/>
                    </w:rPr>
                    <w:t>Convención sobre la Eliminación de todas las Formas de Discriminación contra la Mujer, (CEDAW)</w:t>
                  </w:r>
                  <w:r w:rsidRPr="00DA26EA">
                    <w:rPr>
                      <w:rFonts w:ascii="Verdana" w:hAnsi="Verdana" w:cs="Times New Roman"/>
                      <w:color w:val="9F007D"/>
                      <w:sz w:val="16"/>
                      <w:szCs w:val="18"/>
                      <w:lang w:eastAsia="es-ES_tradnl"/>
                    </w:rPr>
                    <w:t> </w:t>
                  </w:r>
                  <w:r w:rsidRPr="00BC02F5">
                    <w:rPr>
                      <w:rFonts w:ascii="Verdana" w:hAnsi="Verdana" w:cs="Times New Roman"/>
                      <w:color w:val="9F007D"/>
                      <w:sz w:val="16"/>
                      <w:szCs w:val="18"/>
                      <w:lang w:eastAsia="es-ES_tradnl"/>
                    </w:rPr>
                    <w:br/>
                    <w:t>1979</w:t>
                  </w:r>
                  <w:r w:rsidRPr="00DA26EA">
                    <w:rPr>
                      <w:rFonts w:ascii="Verdana" w:hAnsi="Verdana" w:cs="Times New Roman"/>
                      <w:color w:val="9F007D"/>
                      <w:sz w:val="16"/>
                      <w:szCs w:val="18"/>
                      <w:lang w:eastAsia="es-ES_tradnl"/>
                    </w:rPr>
                    <w:t> </w:t>
                  </w:r>
                </w:p>
              </w:tc>
              <w:tc>
                <w:tcPr>
                  <w:tcW w:w="47" w:type="pct"/>
                  <w:hideMark/>
                </w:tcPr>
                <w:p w14:paraId="673E9661" w14:textId="77777777" w:rsidR="00BC02F5" w:rsidRPr="00BC02F5" w:rsidRDefault="00BC02F5" w:rsidP="00BC02F5">
                  <w:pPr>
                    <w:rPr>
                      <w:rFonts w:ascii="Times New Roman" w:eastAsia="Times New Roman" w:hAnsi="Times New Roman" w:cs="Times New Roman"/>
                      <w:sz w:val="22"/>
                      <w:lang w:eastAsia="es-ES_tradnl"/>
                    </w:rPr>
                  </w:pPr>
                  <w:r w:rsidRPr="00BC02F5">
                    <w:rPr>
                      <w:rFonts w:ascii="Times New Roman" w:eastAsia="Times New Roman" w:hAnsi="Times New Roman" w:cs="Times New Roman"/>
                      <w:sz w:val="22"/>
                      <w:lang w:eastAsia="es-ES_tradnl"/>
                    </w:rPr>
                    <w:t> </w:t>
                  </w:r>
                </w:p>
              </w:tc>
              <w:tc>
                <w:tcPr>
                  <w:tcW w:w="2479" w:type="pct"/>
                  <w:hideMark/>
                </w:tcPr>
                <w:p w14:paraId="671BFE72" w14:textId="77777777" w:rsidR="00BC02F5" w:rsidRPr="00BC02F5" w:rsidRDefault="00BC02F5" w:rsidP="00BC02F5">
                  <w:pPr>
                    <w:rPr>
                      <w:rFonts w:ascii="Times New Roman" w:eastAsia="Times New Roman" w:hAnsi="Times New Roman" w:cs="Times New Roman"/>
                      <w:sz w:val="22"/>
                      <w:lang w:eastAsia="es-ES_tradnl"/>
                    </w:rPr>
                  </w:pPr>
                  <w:r w:rsidRPr="00DA26EA">
                    <w:rPr>
                      <w:rFonts w:ascii="Verdana" w:eastAsia="Times New Roman" w:hAnsi="Verdana" w:cs="Times New Roman"/>
                      <w:color w:val="000000"/>
                      <w:sz w:val="16"/>
                      <w:szCs w:val="18"/>
                      <w:lang w:eastAsia="es-ES_tradnl"/>
                    </w:rPr>
                    <w:t>Tratado Internacional de Derechos Humanos adoptado en Nueva York, en 1979. Entra en vigencia el 3 de septiembre de 1981. Es el instrumento internacional vinculante más importante para la defensa de los derechos de las mujeres. Se enfoca específicamente en los derechos humanos de las mujeres y recoge una serie de obligaciones impuestas al Estado, desde el lado legislativo, político, judicial y cultural para prevenir, juzgar y sancionar la discriminación contra la mujer, así como garantizar el goce y ejercicio de derechos en igualdad de condiciones que el varón. </w:t>
                  </w:r>
                  <w:r w:rsidRPr="00BC02F5">
                    <w:rPr>
                      <w:rFonts w:ascii="Times New Roman" w:eastAsia="Times New Roman" w:hAnsi="Times New Roman" w:cs="Times New Roman"/>
                      <w:sz w:val="22"/>
                      <w:lang w:eastAsia="es-ES_tradnl"/>
                    </w:rPr>
                    <w:br/>
                  </w:r>
                  <w:hyperlink r:id="rId6" w:tgtFrame="_blank" w:history="1">
                    <w:r w:rsidRPr="00DA26EA">
                      <w:rPr>
                        <w:rFonts w:ascii="Verdana" w:eastAsia="Times New Roman" w:hAnsi="Verdana" w:cs="Times New Roman"/>
                        <w:color w:val="9F007D"/>
                        <w:sz w:val="16"/>
                        <w:szCs w:val="18"/>
                        <w:u w:val="single"/>
                        <w:lang w:eastAsia="es-ES_tradnl"/>
                      </w:rPr>
                      <w:t>Consultar</w:t>
                    </w:r>
                  </w:hyperlink>
                </w:p>
              </w:tc>
            </w:tr>
            <w:tr w:rsidR="00BC02F5" w:rsidRPr="00BC02F5" w14:paraId="37A477D9" w14:textId="77777777" w:rsidTr="005D55F4">
              <w:trPr>
                <w:tblCellSpacing w:w="0" w:type="dxa"/>
              </w:trPr>
              <w:tc>
                <w:tcPr>
                  <w:tcW w:w="2474" w:type="pct"/>
                  <w:hideMark/>
                </w:tcPr>
                <w:p w14:paraId="0DA22EB8" w14:textId="77777777" w:rsidR="00BC02F5" w:rsidRPr="00BC02F5" w:rsidRDefault="00BC02F5" w:rsidP="00BC02F5">
                  <w:pPr>
                    <w:rPr>
                      <w:rFonts w:ascii="Times New Roman" w:eastAsia="Times New Roman" w:hAnsi="Times New Roman" w:cs="Times New Roman"/>
                      <w:sz w:val="22"/>
                      <w:lang w:eastAsia="es-ES_tradnl"/>
                    </w:rPr>
                  </w:pPr>
                </w:p>
              </w:tc>
              <w:tc>
                <w:tcPr>
                  <w:tcW w:w="47" w:type="pct"/>
                  <w:hideMark/>
                </w:tcPr>
                <w:p w14:paraId="21E7107A" w14:textId="77777777" w:rsidR="00BC02F5" w:rsidRPr="00BC02F5" w:rsidRDefault="00BC02F5" w:rsidP="00BC02F5">
                  <w:pPr>
                    <w:rPr>
                      <w:rFonts w:ascii="Times New Roman" w:eastAsia="Times New Roman" w:hAnsi="Times New Roman" w:cs="Times New Roman"/>
                      <w:sz w:val="18"/>
                      <w:szCs w:val="20"/>
                      <w:lang w:eastAsia="es-ES_tradnl"/>
                    </w:rPr>
                  </w:pPr>
                </w:p>
              </w:tc>
              <w:tc>
                <w:tcPr>
                  <w:tcW w:w="0" w:type="auto"/>
                  <w:hideMark/>
                </w:tcPr>
                <w:p w14:paraId="386FE4AC" w14:textId="77777777" w:rsidR="00BC02F5" w:rsidRPr="00BC02F5" w:rsidRDefault="00BC02F5" w:rsidP="00BC02F5">
                  <w:pPr>
                    <w:rPr>
                      <w:rFonts w:ascii="Times New Roman" w:eastAsia="Times New Roman" w:hAnsi="Times New Roman" w:cs="Times New Roman"/>
                      <w:sz w:val="18"/>
                      <w:szCs w:val="20"/>
                      <w:lang w:eastAsia="es-ES_tradnl"/>
                    </w:rPr>
                  </w:pPr>
                </w:p>
              </w:tc>
            </w:tr>
            <w:tr w:rsidR="00BC02F5" w:rsidRPr="00BC02F5" w14:paraId="6BCC35CD" w14:textId="77777777" w:rsidTr="005D55F4">
              <w:trPr>
                <w:tblCellSpacing w:w="0" w:type="dxa"/>
              </w:trPr>
              <w:tc>
                <w:tcPr>
                  <w:tcW w:w="2474" w:type="pct"/>
                  <w:hideMark/>
                </w:tcPr>
                <w:p w14:paraId="3B967FBF" w14:textId="77777777" w:rsidR="00BC02F5" w:rsidRPr="00BC02F5" w:rsidRDefault="00BC02F5" w:rsidP="00BC02F5">
                  <w:pPr>
                    <w:spacing w:before="100" w:beforeAutospacing="1" w:after="100" w:afterAutospacing="1"/>
                    <w:rPr>
                      <w:rFonts w:ascii="Verdana" w:hAnsi="Verdana" w:cs="Times New Roman"/>
                      <w:color w:val="9F007D"/>
                      <w:sz w:val="16"/>
                      <w:szCs w:val="18"/>
                      <w:lang w:eastAsia="es-ES_tradnl"/>
                    </w:rPr>
                  </w:pPr>
                  <w:r w:rsidRPr="00BC02F5">
                    <w:rPr>
                      <w:rFonts w:ascii="Verdana" w:hAnsi="Verdana" w:cs="Times New Roman"/>
                      <w:color w:val="9F007D"/>
                      <w:sz w:val="16"/>
                      <w:szCs w:val="18"/>
                      <w:lang w:eastAsia="es-ES_tradnl"/>
                    </w:rPr>
                    <w:t>Declaración sobre la Eliminación de la Violencia Contra la Mujer</w:t>
                  </w:r>
                  <w:r w:rsidRPr="00DA26EA">
                    <w:rPr>
                      <w:rFonts w:ascii="Verdana" w:hAnsi="Verdana" w:cs="Times New Roman"/>
                      <w:color w:val="9F007D"/>
                      <w:sz w:val="16"/>
                      <w:szCs w:val="18"/>
                      <w:lang w:eastAsia="es-ES_tradnl"/>
                    </w:rPr>
                    <w:t> </w:t>
                  </w:r>
                  <w:r w:rsidRPr="00BC02F5">
                    <w:rPr>
                      <w:rFonts w:ascii="Verdana" w:hAnsi="Verdana" w:cs="Times New Roman"/>
                      <w:color w:val="9F007D"/>
                      <w:sz w:val="16"/>
                      <w:szCs w:val="18"/>
                      <w:lang w:eastAsia="es-ES_tradnl"/>
                    </w:rPr>
                    <w:br/>
                    <w:t>1993</w:t>
                  </w:r>
                </w:p>
              </w:tc>
              <w:tc>
                <w:tcPr>
                  <w:tcW w:w="47" w:type="pct"/>
                  <w:hideMark/>
                </w:tcPr>
                <w:p w14:paraId="17AF99E8" w14:textId="77777777" w:rsidR="00BC02F5" w:rsidRPr="00BC02F5" w:rsidRDefault="00BC02F5" w:rsidP="00BC02F5">
                  <w:pPr>
                    <w:rPr>
                      <w:rFonts w:ascii="Times New Roman" w:eastAsia="Times New Roman" w:hAnsi="Times New Roman" w:cs="Times New Roman"/>
                      <w:sz w:val="22"/>
                      <w:lang w:eastAsia="es-ES_tradnl"/>
                    </w:rPr>
                  </w:pPr>
                  <w:r w:rsidRPr="00BC02F5">
                    <w:rPr>
                      <w:rFonts w:ascii="Times New Roman" w:eastAsia="Times New Roman" w:hAnsi="Times New Roman" w:cs="Times New Roman"/>
                      <w:sz w:val="22"/>
                      <w:lang w:eastAsia="es-ES_tradnl"/>
                    </w:rPr>
                    <w:t> </w:t>
                  </w:r>
                </w:p>
              </w:tc>
              <w:tc>
                <w:tcPr>
                  <w:tcW w:w="2479" w:type="pct"/>
                  <w:hideMark/>
                </w:tcPr>
                <w:p w14:paraId="46B012C0" w14:textId="77777777" w:rsidR="00BC02F5" w:rsidRPr="00BC02F5" w:rsidRDefault="00BC02F5" w:rsidP="00BC02F5">
                  <w:pPr>
                    <w:rPr>
                      <w:rFonts w:ascii="Times New Roman" w:eastAsia="Times New Roman" w:hAnsi="Times New Roman" w:cs="Times New Roman"/>
                      <w:sz w:val="22"/>
                      <w:lang w:eastAsia="es-ES_tradnl"/>
                    </w:rPr>
                  </w:pPr>
                  <w:r w:rsidRPr="00DA26EA">
                    <w:rPr>
                      <w:rFonts w:ascii="Verdana" w:eastAsia="Times New Roman" w:hAnsi="Verdana" w:cs="Times New Roman"/>
                      <w:color w:val="000000"/>
                      <w:sz w:val="16"/>
                      <w:szCs w:val="18"/>
                      <w:lang w:eastAsia="es-ES_tradnl"/>
                    </w:rPr>
                    <w:t>Adoptado después de Viena el 20 de diciembre de 1993. Se reconoció que la violencia contra las mujeres es una violación de los derechos humanos. </w:t>
                  </w:r>
                  <w:r w:rsidRPr="00BC02F5">
                    <w:rPr>
                      <w:rFonts w:ascii="Times New Roman" w:eastAsia="Times New Roman" w:hAnsi="Times New Roman" w:cs="Times New Roman"/>
                      <w:sz w:val="22"/>
                      <w:lang w:eastAsia="es-ES_tradnl"/>
                    </w:rPr>
                    <w:br/>
                  </w:r>
                  <w:hyperlink r:id="rId7" w:tgtFrame="_blank" w:history="1">
                    <w:r w:rsidRPr="00DA26EA">
                      <w:rPr>
                        <w:rFonts w:ascii="Verdana" w:eastAsia="Times New Roman" w:hAnsi="Verdana" w:cs="Times New Roman"/>
                        <w:color w:val="9F007D"/>
                        <w:sz w:val="16"/>
                        <w:szCs w:val="18"/>
                        <w:u w:val="single"/>
                        <w:lang w:eastAsia="es-ES_tradnl"/>
                      </w:rPr>
                      <w:t>Consultar</w:t>
                    </w:r>
                  </w:hyperlink>
                </w:p>
              </w:tc>
            </w:tr>
            <w:tr w:rsidR="00BC02F5" w:rsidRPr="00BC02F5" w14:paraId="13CD8F04" w14:textId="77777777" w:rsidTr="005D55F4">
              <w:trPr>
                <w:tblCellSpacing w:w="0" w:type="dxa"/>
              </w:trPr>
              <w:tc>
                <w:tcPr>
                  <w:tcW w:w="2474" w:type="pct"/>
                  <w:hideMark/>
                </w:tcPr>
                <w:p w14:paraId="1438E273" w14:textId="77777777" w:rsidR="00BC02F5" w:rsidRPr="00BC02F5" w:rsidRDefault="00BC02F5" w:rsidP="00BC02F5">
                  <w:pPr>
                    <w:rPr>
                      <w:rFonts w:ascii="Times New Roman" w:eastAsia="Times New Roman" w:hAnsi="Times New Roman" w:cs="Times New Roman"/>
                      <w:sz w:val="22"/>
                      <w:lang w:eastAsia="es-ES_tradnl"/>
                    </w:rPr>
                  </w:pPr>
                </w:p>
              </w:tc>
              <w:tc>
                <w:tcPr>
                  <w:tcW w:w="47" w:type="pct"/>
                  <w:hideMark/>
                </w:tcPr>
                <w:p w14:paraId="65541BAF" w14:textId="77777777" w:rsidR="00BC02F5" w:rsidRPr="00BC02F5" w:rsidRDefault="00BC02F5" w:rsidP="00BC02F5">
                  <w:pPr>
                    <w:rPr>
                      <w:rFonts w:ascii="Times New Roman" w:eastAsia="Times New Roman" w:hAnsi="Times New Roman" w:cs="Times New Roman"/>
                      <w:sz w:val="18"/>
                      <w:szCs w:val="20"/>
                      <w:lang w:eastAsia="es-ES_tradnl"/>
                    </w:rPr>
                  </w:pPr>
                </w:p>
              </w:tc>
              <w:tc>
                <w:tcPr>
                  <w:tcW w:w="0" w:type="auto"/>
                  <w:hideMark/>
                </w:tcPr>
                <w:p w14:paraId="66B6F478" w14:textId="77777777" w:rsidR="00BC02F5" w:rsidRPr="00BC02F5" w:rsidRDefault="00BC02F5" w:rsidP="00BC02F5">
                  <w:pPr>
                    <w:rPr>
                      <w:rFonts w:ascii="Times New Roman" w:eastAsia="Times New Roman" w:hAnsi="Times New Roman" w:cs="Times New Roman"/>
                      <w:sz w:val="18"/>
                      <w:szCs w:val="20"/>
                      <w:lang w:eastAsia="es-ES_tradnl"/>
                    </w:rPr>
                  </w:pPr>
                </w:p>
              </w:tc>
            </w:tr>
            <w:tr w:rsidR="00BC02F5" w:rsidRPr="00BC02F5" w14:paraId="39426597" w14:textId="77777777" w:rsidTr="005D55F4">
              <w:trPr>
                <w:tblCellSpacing w:w="0" w:type="dxa"/>
              </w:trPr>
              <w:tc>
                <w:tcPr>
                  <w:tcW w:w="2474" w:type="pct"/>
                  <w:hideMark/>
                </w:tcPr>
                <w:p w14:paraId="4FF443C0" w14:textId="77777777" w:rsidR="00BC02F5" w:rsidRPr="00BC02F5" w:rsidRDefault="00BC02F5" w:rsidP="00BC02F5">
                  <w:pPr>
                    <w:spacing w:before="100" w:beforeAutospacing="1" w:after="100" w:afterAutospacing="1"/>
                    <w:rPr>
                      <w:rFonts w:ascii="Verdana" w:hAnsi="Verdana" w:cs="Times New Roman"/>
                      <w:color w:val="9F007D"/>
                      <w:sz w:val="16"/>
                      <w:szCs w:val="18"/>
                      <w:lang w:eastAsia="es-ES_tradnl"/>
                    </w:rPr>
                  </w:pPr>
                  <w:r w:rsidRPr="00BC02F5">
                    <w:rPr>
                      <w:rFonts w:ascii="Verdana" w:hAnsi="Verdana" w:cs="Times New Roman"/>
                      <w:color w:val="9F007D"/>
                      <w:sz w:val="16"/>
                      <w:szCs w:val="18"/>
                      <w:lang w:eastAsia="es-ES_tradnl"/>
                    </w:rPr>
                    <w:t>Convención Interamericana para prevenir, sancionar y erradicar la violencia contra la Mujer. (Convención de Belem Do Pará)</w:t>
                  </w:r>
                  <w:r w:rsidRPr="00DA26EA">
                    <w:rPr>
                      <w:rFonts w:ascii="Verdana" w:hAnsi="Verdana" w:cs="Times New Roman"/>
                      <w:color w:val="9F007D"/>
                      <w:sz w:val="16"/>
                      <w:szCs w:val="18"/>
                      <w:lang w:eastAsia="es-ES_tradnl"/>
                    </w:rPr>
                    <w:t> </w:t>
                  </w:r>
                  <w:r w:rsidRPr="00BC02F5">
                    <w:rPr>
                      <w:rFonts w:ascii="Verdana" w:hAnsi="Verdana" w:cs="Times New Roman"/>
                      <w:color w:val="9F007D"/>
                      <w:sz w:val="16"/>
                      <w:szCs w:val="18"/>
                      <w:lang w:eastAsia="es-ES_tradnl"/>
                    </w:rPr>
                    <w:br/>
                    <w:t>1994</w:t>
                  </w:r>
                  <w:r w:rsidRPr="00DA26EA">
                    <w:rPr>
                      <w:rFonts w:ascii="Verdana" w:hAnsi="Verdana" w:cs="Times New Roman"/>
                      <w:color w:val="9F007D"/>
                      <w:sz w:val="16"/>
                      <w:szCs w:val="18"/>
                      <w:lang w:eastAsia="es-ES_tradnl"/>
                    </w:rPr>
                    <w:t> </w:t>
                  </w:r>
                </w:p>
              </w:tc>
              <w:tc>
                <w:tcPr>
                  <w:tcW w:w="47" w:type="pct"/>
                  <w:hideMark/>
                </w:tcPr>
                <w:p w14:paraId="68D7F889" w14:textId="77777777" w:rsidR="00BC02F5" w:rsidRPr="00BC02F5" w:rsidRDefault="00BC02F5" w:rsidP="00BC02F5">
                  <w:pPr>
                    <w:rPr>
                      <w:rFonts w:ascii="Times New Roman" w:eastAsia="Times New Roman" w:hAnsi="Times New Roman" w:cs="Times New Roman"/>
                      <w:sz w:val="22"/>
                      <w:lang w:eastAsia="es-ES_tradnl"/>
                    </w:rPr>
                  </w:pPr>
                  <w:r w:rsidRPr="00BC02F5">
                    <w:rPr>
                      <w:rFonts w:ascii="Times New Roman" w:eastAsia="Times New Roman" w:hAnsi="Times New Roman" w:cs="Times New Roman"/>
                      <w:sz w:val="22"/>
                      <w:lang w:eastAsia="es-ES_tradnl"/>
                    </w:rPr>
                    <w:t> </w:t>
                  </w:r>
                </w:p>
              </w:tc>
              <w:tc>
                <w:tcPr>
                  <w:tcW w:w="2479" w:type="pct"/>
                  <w:hideMark/>
                </w:tcPr>
                <w:p w14:paraId="40668D2A" w14:textId="77777777" w:rsidR="00BC02F5" w:rsidRPr="00BC02F5" w:rsidRDefault="00BC02F5" w:rsidP="00BC02F5">
                  <w:pPr>
                    <w:rPr>
                      <w:rFonts w:ascii="Times New Roman" w:eastAsia="Times New Roman" w:hAnsi="Times New Roman" w:cs="Times New Roman"/>
                      <w:sz w:val="22"/>
                      <w:lang w:eastAsia="es-ES_tradnl"/>
                    </w:rPr>
                  </w:pPr>
                  <w:r w:rsidRPr="00DA26EA">
                    <w:rPr>
                      <w:rFonts w:ascii="Verdana" w:eastAsia="Times New Roman" w:hAnsi="Verdana" w:cs="Times New Roman"/>
                      <w:color w:val="000000"/>
                      <w:sz w:val="16"/>
                      <w:szCs w:val="18"/>
                      <w:lang w:eastAsia="es-ES_tradnl"/>
                    </w:rPr>
                    <w:t>Fue adoptada el 9 de junio de 1994 en la ciudad de Belem do Pará, Brasil. Este tratado constituyó un hito importante en el tratamiento de la violencia contra la mujer al reconocerla como “una violación de derechos humanos y las libertades fundamentales” que “limita total o parcialmente a la mujer el reconocimiento, goce y ejercicio de tales derechos y libertades”. </w:t>
                  </w:r>
                  <w:r w:rsidRPr="00BC02F5">
                    <w:rPr>
                      <w:rFonts w:ascii="Times New Roman" w:eastAsia="Times New Roman" w:hAnsi="Times New Roman" w:cs="Times New Roman"/>
                      <w:sz w:val="22"/>
                      <w:lang w:eastAsia="es-ES_tradnl"/>
                    </w:rPr>
                    <w:br/>
                  </w:r>
                  <w:hyperlink r:id="rId8" w:tgtFrame="_blank" w:history="1">
                    <w:r w:rsidRPr="00DA26EA">
                      <w:rPr>
                        <w:rFonts w:ascii="Verdana" w:eastAsia="Times New Roman" w:hAnsi="Verdana" w:cs="Times New Roman"/>
                        <w:color w:val="9F007D"/>
                        <w:sz w:val="16"/>
                        <w:szCs w:val="18"/>
                        <w:u w:val="single"/>
                        <w:lang w:eastAsia="es-ES_tradnl"/>
                      </w:rPr>
                      <w:t>Consultar</w:t>
                    </w:r>
                  </w:hyperlink>
                </w:p>
              </w:tc>
            </w:tr>
            <w:tr w:rsidR="00BC02F5" w:rsidRPr="00BC02F5" w14:paraId="51D35102" w14:textId="77777777" w:rsidTr="005D55F4">
              <w:trPr>
                <w:tblCellSpacing w:w="0" w:type="dxa"/>
              </w:trPr>
              <w:tc>
                <w:tcPr>
                  <w:tcW w:w="2474" w:type="pct"/>
                  <w:hideMark/>
                </w:tcPr>
                <w:p w14:paraId="434029D2" w14:textId="77777777" w:rsidR="00BC02F5" w:rsidRPr="00BC02F5" w:rsidRDefault="00BC02F5" w:rsidP="00BC02F5">
                  <w:pPr>
                    <w:rPr>
                      <w:rFonts w:ascii="Times New Roman" w:eastAsia="Times New Roman" w:hAnsi="Times New Roman" w:cs="Times New Roman"/>
                      <w:sz w:val="22"/>
                      <w:lang w:eastAsia="es-ES_tradnl"/>
                    </w:rPr>
                  </w:pPr>
                </w:p>
              </w:tc>
              <w:tc>
                <w:tcPr>
                  <w:tcW w:w="47" w:type="pct"/>
                  <w:hideMark/>
                </w:tcPr>
                <w:p w14:paraId="0F914093" w14:textId="77777777" w:rsidR="00BC02F5" w:rsidRPr="00BC02F5" w:rsidRDefault="00BC02F5" w:rsidP="00BC02F5">
                  <w:pPr>
                    <w:rPr>
                      <w:rFonts w:ascii="Times New Roman" w:eastAsia="Times New Roman" w:hAnsi="Times New Roman" w:cs="Times New Roman"/>
                      <w:sz w:val="18"/>
                      <w:szCs w:val="20"/>
                      <w:lang w:eastAsia="es-ES_tradnl"/>
                    </w:rPr>
                  </w:pPr>
                </w:p>
              </w:tc>
              <w:tc>
                <w:tcPr>
                  <w:tcW w:w="0" w:type="auto"/>
                  <w:hideMark/>
                </w:tcPr>
                <w:p w14:paraId="5266EE5D" w14:textId="77777777" w:rsidR="00BC02F5" w:rsidRPr="00BC02F5" w:rsidRDefault="00BC02F5" w:rsidP="00BC02F5">
                  <w:pPr>
                    <w:rPr>
                      <w:rFonts w:ascii="Times New Roman" w:eastAsia="Times New Roman" w:hAnsi="Times New Roman" w:cs="Times New Roman"/>
                      <w:sz w:val="18"/>
                      <w:szCs w:val="20"/>
                      <w:lang w:eastAsia="es-ES_tradnl"/>
                    </w:rPr>
                  </w:pPr>
                </w:p>
              </w:tc>
            </w:tr>
            <w:tr w:rsidR="00BC02F5" w:rsidRPr="00BC02F5" w14:paraId="3227CDEE" w14:textId="77777777" w:rsidTr="005D55F4">
              <w:trPr>
                <w:tblCellSpacing w:w="0" w:type="dxa"/>
              </w:trPr>
              <w:tc>
                <w:tcPr>
                  <w:tcW w:w="2474" w:type="pct"/>
                  <w:hideMark/>
                </w:tcPr>
                <w:p w14:paraId="32D790CB" w14:textId="77777777" w:rsidR="00BC02F5" w:rsidRPr="00BC02F5" w:rsidRDefault="00BC02F5" w:rsidP="00BC02F5">
                  <w:pPr>
                    <w:spacing w:before="100" w:beforeAutospacing="1" w:after="100" w:afterAutospacing="1"/>
                    <w:rPr>
                      <w:rFonts w:ascii="Verdana" w:hAnsi="Verdana" w:cs="Times New Roman"/>
                      <w:color w:val="9F007D"/>
                      <w:sz w:val="16"/>
                      <w:szCs w:val="18"/>
                      <w:lang w:eastAsia="es-ES_tradnl"/>
                    </w:rPr>
                  </w:pPr>
                  <w:r w:rsidRPr="00BC02F5">
                    <w:rPr>
                      <w:rFonts w:ascii="Verdana" w:hAnsi="Verdana" w:cs="Times New Roman"/>
                      <w:color w:val="9F007D"/>
                      <w:sz w:val="16"/>
                      <w:szCs w:val="18"/>
                      <w:lang w:eastAsia="es-ES_tradnl"/>
                    </w:rPr>
                    <w:t>Protocolo Facultativo de la Convención sobre la Eliminación de todas las formas de Discriminación contra la Mujer</w:t>
                  </w:r>
                  <w:r w:rsidRPr="00DA26EA">
                    <w:rPr>
                      <w:rFonts w:ascii="Verdana" w:hAnsi="Verdana" w:cs="Times New Roman"/>
                      <w:color w:val="9F007D"/>
                      <w:sz w:val="16"/>
                      <w:szCs w:val="18"/>
                      <w:lang w:eastAsia="es-ES_tradnl"/>
                    </w:rPr>
                    <w:t> </w:t>
                  </w:r>
                  <w:r w:rsidRPr="00BC02F5">
                    <w:rPr>
                      <w:rFonts w:ascii="Verdana" w:hAnsi="Verdana" w:cs="Times New Roman"/>
                      <w:color w:val="9F007D"/>
                      <w:sz w:val="16"/>
                      <w:szCs w:val="18"/>
                      <w:lang w:eastAsia="es-ES_tradnl"/>
                    </w:rPr>
                    <w:br/>
                    <w:t>1999</w:t>
                  </w:r>
                </w:p>
              </w:tc>
              <w:tc>
                <w:tcPr>
                  <w:tcW w:w="47" w:type="pct"/>
                  <w:hideMark/>
                </w:tcPr>
                <w:p w14:paraId="12DA9823" w14:textId="77777777" w:rsidR="00BC02F5" w:rsidRPr="00BC02F5" w:rsidRDefault="00BC02F5" w:rsidP="00BC02F5">
                  <w:pPr>
                    <w:rPr>
                      <w:rFonts w:ascii="Times New Roman" w:eastAsia="Times New Roman" w:hAnsi="Times New Roman" w:cs="Times New Roman"/>
                      <w:sz w:val="22"/>
                      <w:lang w:eastAsia="es-ES_tradnl"/>
                    </w:rPr>
                  </w:pPr>
                  <w:r w:rsidRPr="00BC02F5">
                    <w:rPr>
                      <w:rFonts w:ascii="Times New Roman" w:eastAsia="Times New Roman" w:hAnsi="Times New Roman" w:cs="Times New Roman"/>
                      <w:sz w:val="22"/>
                      <w:lang w:eastAsia="es-ES_tradnl"/>
                    </w:rPr>
                    <w:t> </w:t>
                  </w:r>
                </w:p>
              </w:tc>
              <w:tc>
                <w:tcPr>
                  <w:tcW w:w="2479" w:type="pct"/>
                  <w:hideMark/>
                </w:tcPr>
                <w:p w14:paraId="670B28C4" w14:textId="77777777" w:rsidR="00BC02F5" w:rsidRPr="00BC02F5" w:rsidRDefault="00BC02F5" w:rsidP="00BC02F5">
                  <w:pPr>
                    <w:rPr>
                      <w:rFonts w:ascii="Times New Roman" w:eastAsia="Times New Roman" w:hAnsi="Times New Roman" w:cs="Times New Roman"/>
                      <w:sz w:val="22"/>
                      <w:lang w:eastAsia="es-ES_tradnl"/>
                    </w:rPr>
                  </w:pPr>
                  <w:r w:rsidRPr="00DA26EA">
                    <w:rPr>
                      <w:rFonts w:ascii="Verdana" w:eastAsia="Times New Roman" w:hAnsi="Verdana" w:cs="Times New Roman"/>
                      <w:color w:val="000000"/>
                      <w:sz w:val="16"/>
                      <w:szCs w:val="18"/>
                      <w:lang w:eastAsia="es-ES_tradnl"/>
                    </w:rPr>
                    <w:t>El Protocolo Facultativo de la CEDAW es un instrumento jurídico que, aprobado en 1999 por la Asamblea General, completó el marco internacional de protección de los derechos humanos de las mujeres. Permite a los nacionales de los Estados que lo ratifican la posibilidad de presentar comunicaciones al Comité sobre la Eliminación de la Discriminación contra la Mujer, denunciando al Estado por el incumplimiento de su obligación en el marco de la Convención. </w:t>
                  </w:r>
                  <w:r w:rsidRPr="00BC02F5">
                    <w:rPr>
                      <w:rFonts w:ascii="Times New Roman" w:eastAsia="Times New Roman" w:hAnsi="Times New Roman" w:cs="Times New Roman"/>
                      <w:sz w:val="22"/>
                      <w:lang w:eastAsia="es-ES_tradnl"/>
                    </w:rPr>
                    <w:br/>
                  </w:r>
                  <w:hyperlink r:id="rId9" w:tgtFrame="_blank" w:history="1">
                    <w:r w:rsidRPr="00DA26EA">
                      <w:rPr>
                        <w:rFonts w:ascii="Verdana" w:eastAsia="Times New Roman" w:hAnsi="Verdana" w:cs="Times New Roman"/>
                        <w:color w:val="9F007D"/>
                        <w:sz w:val="16"/>
                        <w:szCs w:val="18"/>
                        <w:u w:val="single"/>
                        <w:lang w:eastAsia="es-ES_tradnl"/>
                      </w:rPr>
                      <w:t>Consultar</w:t>
                    </w:r>
                  </w:hyperlink>
                </w:p>
              </w:tc>
            </w:tr>
            <w:tr w:rsidR="00BC02F5" w:rsidRPr="00BC02F5" w14:paraId="34650926" w14:textId="77777777" w:rsidTr="005D55F4">
              <w:trPr>
                <w:tblCellSpacing w:w="0" w:type="dxa"/>
              </w:trPr>
              <w:tc>
                <w:tcPr>
                  <w:tcW w:w="2474" w:type="pct"/>
                  <w:hideMark/>
                </w:tcPr>
                <w:p w14:paraId="3C13FE6D" w14:textId="77777777" w:rsidR="00BC02F5" w:rsidRPr="00BC02F5" w:rsidRDefault="00BC02F5" w:rsidP="00BC02F5">
                  <w:pPr>
                    <w:rPr>
                      <w:rFonts w:ascii="Times New Roman" w:eastAsia="Times New Roman" w:hAnsi="Times New Roman" w:cs="Times New Roman"/>
                      <w:sz w:val="22"/>
                      <w:lang w:eastAsia="es-ES_tradnl"/>
                    </w:rPr>
                  </w:pPr>
                </w:p>
              </w:tc>
              <w:tc>
                <w:tcPr>
                  <w:tcW w:w="47" w:type="pct"/>
                  <w:hideMark/>
                </w:tcPr>
                <w:p w14:paraId="661462B4" w14:textId="77777777" w:rsidR="00BC02F5" w:rsidRPr="00BC02F5" w:rsidRDefault="00BC02F5" w:rsidP="00BC02F5">
                  <w:pPr>
                    <w:rPr>
                      <w:rFonts w:ascii="Times New Roman" w:eastAsia="Times New Roman" w:hAnsi="Times New Roman" w:cs="Times New Roman"/>
                      <w:sz w:val="18"/>
                      <w:szCs w:val="20"/>
                      <w:lang w:eastAsia="es-ES_tradnl"/>
                    </w:rPr>
                  </w:pPr>
                </w:p>
              </w:tc>
              <w:tc>
                <w:tcPr>
                  <w:tcW w:w="0" w:type="auto"/>
                  <w:hideMark/>
                </w:tcPr>
                <w:p w14:paraId="371B7BB1" w14:textId="77777777" w:rsidR="00BC02F5" w:rsidRPr="00BC02F5" w:rsidRDefault="00BC02F5" w:rsidP="00BC02F5">
                  <w:pPr>
                    <w:rPr>
                      <w:rFonts w:ascii="Times New Roman" w:eastAsia="Times New Roman" w:hAnsi="Times New Roman" w:cs="Times New Roman"/>
                      <w:sz w:val="18"/>
                      <w:szCs w:val="20"/>
                      <w:lang w:eastAsia="es-ES_tradnl"/>
                    </w:rPr>
                  </w:pPr>
                </w:p>
              </w:tc>
            </w:tr>
            <w:tr w:rsidR="00BC02F5" w:rsidRPr="00BC02F5" w14:paraId="5429D991" w14:textId="77777777" w:rsidTr="005D55F4">
              <w:trPr>
                <w:tblCellSpacing w:w="0" w:type="dxa"/>
              </w:trPr>
              <w:tc>
                <w:tcPr>
                  <w:tcW w:w="2474" w:type="pct"/>
                  <w:hideMark/>
                </w:tcPr>
                <w:p w14:paraId="231CB419" w14:textId="77777777" w:rsidR="00BC02F5" w:rsidRPr="00BC02F5" w:rsidRDefault="00BC02F5" w:rsidP="00BC02F5">
                  <w:pPr>
                    <w:spacing w:before="100" w:beforeAutospacing="1" w:after="100" w:afterAutospacing="1"/>
                    <w:rPr>
                      <w:rFonts w:ascii="Verdana" w:hAnsi="Verdana" w:cs="Times New Roman"/>
                      <w:color w:val="9F007D"/>
                      <w:sz w:val="16"/>
                      <w:szCs w:val="18"/>
                      <w:lang w:eastAsia="es-ES_tradnl"/>
                    </w:rPr>
                  </w:pPr>
                  <w:r w:rsidRPr="00BC02F5">
                    <w:rPr>
                      <w:rFonts w:ascii="Verdana" w:hAnsi="Verdana" w:cs="Times New Roman"/>
                      <w:color w:val="9F007D"/>
                      <w:sz w:val="16"/>
                      <w:szCs w:val="18"/>
                      <w:lang w:eastAsia="es-ES_tradnl"/>
                    </w:rPr>
                    <w:t>Declaración y Plataforma de Acción de Beijing</w:t>
                  </w:r>
                  <w:r w:rsidRPr="00DA26EA">
                    <w:rPr>
                      <w:rFonts w:ascii="Verdana" w:hAnsi="Verdana" w:cs="Times New Roman"/>
                      <w:color w:val="9F007D"/>
                      <w:sz w:val="16"/>
                      <w:szCs w:val="18"/>
                      <w:lang w:eastAsia="es-ES_tradnl"/>
                    </w:rPr>
                    <w:t> </w:t>
                  </w:r>
                  <w:r w:rsidRPr="00BC02F5">
                    <w:rPr>
                      <w:rFonts w:ascii="Verdana" w:hAnsi="Verdana" w:cs="Times New Roman"/>
                      <w:color w:val="9F007D"/>
                      <w:sz w:val="16"/>
                      <w:szCs w:val="18"/>
                      <w:lang w:eastAsia="es-ES_tradnl"/>
                    </w:rPr>
                    <w:br/>
                    <w:t>1995</w:t>
                  </w:r>
                </w:p>
              </w:tc>
              <w:tc>
                <w:tcPr>
                  <w:tcW w:w="47" w:type="pct"/>
                  <w:hideMark/>
                </w:tcPr>
                <w:p w14:paraId="1F35ECE4" w14:textId="77777777" w:rsidR="00BC02F5" w:rsidRPr="00BC02F5" w:rsidRDefault="00BC02F5" w:rsidP="00BC02F5">
                  <w:pPr>
                    <w:rPr>
                      <w:rFonts w:ascii="Times New Roman" w:eastAsia="Times New Roman" w:hAnsi="Times New Roman" w:cs="Times New Roman"/>
                      <w:sz w:val="22"/>
                      <w:lang w:eastAsia="es-ES_tradnl"/>
                    </w:rPr>
                  </w:pPr>
                  <w:r w:rsidRPr="00BC02F5">
                    <w:rPr>
                      <w:rFonts w:ascii="Times New Roman" w:eastAsia="Times New Roman" w:hAnsi="Times New Roman" w:cs="Times New Roman"/>
                      <w:sz w:val="22"/>
                      <w:lang w:eastAsia="es-ES_tradnl"/>
                    </w:rPr>
                    <w:t> </w:t>
                  </w:r>
                </w:p>
              </w:tc>
              <w:tc>
                <w:tcPr>
                  <w:tcW w:w="2479" w:type="pct"/>
                  <w:hideMark/>
                </w:tcPr>
                <w:p w14:paraId="7D6FBDA1" w14:textId="77777777" w:rsidR="00BC02F5" w:rsidRPr="00DA26EA" w:rsidRDefault="00BC02F5" w:rsidP="00BC02F5">
                  <w:pPr>
                    <w:rPr>
                      <w:rFonts w:ascii="Verdana" w:eastAsia="Times New Roman" w:hAnsi="Verdana" w:cs="Times New Roman"/>
                      <w:color w:val="000000"/>
                      <w:sz w:val="16"/>
                      <w:szCs w:val="18"/>
                      <w:lang w:eastAsia="es-ES_tradnl"/>
                    </w:rPr>
                  </w:pPr>
                  <w:r w:rsidRPr="00DA26EA">
                    <w:rPr>
                      <w:rFonts w:ascii="Verdana" w:eastAsia="Times New Roman" w:hAnsi="Verdana" w:cs="Times New Roman"/>
                      <w:color w:val="000000"/>
                      <w:sz w:val="16"/>
                      <w:szCs w:val="18"/>
                      <w:lang w:eastAsia="es-ES_tradnl"/>
                    </w:rPr>
                    <w:t>La Declaración y Plataforma de Acción de Beijing fueron adoptadas en la IV Conferencia Mundial de las Mujeres, que tuvo lugar en Beijing el 15 de septiembre de 1995. Incorpora lo logrado en conferencias y tratados tales como la Declaración Universal de Derechos Humanos y la Declaración sobre la Eliminación de la Discriminación contra la Mujer. El documento de esta conferencia proporciona un conjunto de objetivos estratégicos y explica las medidas que deben adoptar a más tardar para el año 2000 los gobiernos, la comunidad internacional, ONGs y el sector privado para proteger los derechos humanos de las mujeres y niñas, promover la igualdad de género y empoderar a las mujeres. </w:t>
                  </w:r>
                  <w:r w:rsidRPr="00BC02F5">
                    <w:rPr>
                      <w:rFonts w:ascii="Times New Roman" w:eastAsia="Times New Roman" w:hAnsi="Times New Roman" w:cs="Times New Roman"/>
                      <w:sz w:val="22"/>
                      <w:lang w:eastAsia="es-ES_tradnl"/>
                    </w:rPr>
                    <w:br/>
                  </w:r>
                  <w:hyperlink r:id="rId10" w:tgtFrame="_blank" w:history="1">
                    <w:r w:rsidRPr="00DA26EA">
                      <w:rPr>
                        <w:rFonts w:ascii="Verdana" w:eastAsia="Times New Roman" w:hAnsi="Verdana" w:cs="Times New Roman"/>
                        <w:color w:val="9F007D"/>
                        <w:sz w:val="16"/>
                        <w:szCs w:val="18"/>
                        <w:u w:val="single"/>
                        <w:lang w:eastAsia="es-ES_tradnl"/>
                      </w:rPr>
                      <w:t>Consultar</w:t>
                    </w:r>
                  </w:hyperlink>
                </w:p>
                <w:p w14:paraId="72CD9714" w14:textId="77777777" w:rsidR="005D55F4" w:rsidRPr="00BC02F5" w:rsidRDefault="005D55F4" w:rsidP="005D55F4">
                  <w:pPr>
                    <w:rPr>
                      <w:rFonts w:ascii="Times New Roman" w:eastAsia="Times New Roman" w:hAnsi="Times New Roman" w:cs="Times New Roman"/>
                      <w:sz w:val="22"/>
                      <w:lang w:eastAsia="es-ES_tradnl"/>
                    </w:rPr>
                  </w:pPr>
                  <w:bookmarkStart w:id="0" w:name="_GoBack"/>
                  <w:bookmarkEnd w:id="0"/>
                </w:p>
              </w:tc>
            </w:tr>
            <w:tr w:rsidR="005D55F4" w:rsidRPr="00754466" w14:paraId="2C282A85" w14:textId="77777777" w:rsidTr="005D55F4">
              <w:trPr>
                <w:tblCellSpacing w:w="0" w:type="dxa"/>
              </w:trPr>
              <w:tc>
                <w:tcPr>
                  <w:tcW w:w="5000" w:type="pct"/>
                  <w:gridSpan w:val="3"/>
                  <w:hideMark/>
                </w:tcPr>
                <w:p w14:paraId="2546E767" w14:textId="233BF33C" w:rsidR="005D55F4" w:rsidRPr="00BC02F5" w:rsidRDefault="005D55F4" w:rsidP="00BC02F5">
                  <w:pPr>
                    <w:rPr>
                      <w:rFonts w:ascii="Times New Roman" w:eastAsia="Times New Roman" w:hAnsi="Times New Roman" w:cs="Times New Roman"/>
                      <w:color w:val="00B0F0"/>
                      <w:sz w:val="20"/>
                      <w:lang w:eastAsia="es-ES_tradnl"/>
                    </w:rPr>
                  </w:pPr>
                  <w:r w:rsidRPr="00754466">
                    <w:rPr>
                      <w:rFonts w:ascii="Times New Roman" w:eastAsia="Times New Roman" w:hAnsi="Times New Roman" w:cs="Times New Roman"/>
                      <w:color w:val="00B0F0"/>
                      <w:sz w:val="20"/>
                      <w:lang w:eastAsia="es-ES_tradnl"/>
                    </w:rPr>
                    <w:t xml:space="preserve">Plataforma Muévete por la Igualdad es Justicia: </w:t>
                  </w:r>
                  <w:hyperlink r:id="rId11" w:history="1">
                    <w:r w:rsidRPr="00754466">
                      <w:rPr>
                        <w:rStyle w:val="Hipervnculo"/>
                        <w:rFonts w:ascii="Times New Roman" w:eastAsia="Times New Roman" w:hAnsi="Times New Roman" w:cs="Times New Roman"/>
                        <w:color w:val="00B0F0"/>
                        <w:sz w:val="20"/>
                        <w:lang w:eastAsia="es-ES_tradnl"/>
                      </w:rPr>
                      <w:t>http://mueveteporlaigualdad.org/marco/n_marco_int.asp</w:t>
                    </w:r>
                  </w:hyperlink>
                </w:p>
              </w:tc>
            </w:tr>
          </w:tbl>
          <w:p w14:paraId="1BF3EA77" w14:textId="77777777" w:rsidR="00BC02F5" w:rsidRPr="00BC02F5" w:rsidRDefault="00BC02F5" w:rsidP="00BC02F5">
            <w:pPr>
              <w:rPr>
                <w:rFonts w:ascii="-webkit-standard" w:eastAsia="Times New Roman" w:hAnsi="-webkit-standard" w:cs="Times New Roman"/>
                <w:sz w:val="22"/>
                <w:lang w:eastAsia="es-ES_tradnl"/>
              </w:rPr>
            </w:pPr>
          </w:p>
        </w:tc>
      </w:tr>
    </w:tbl>
    <w:p w14:paraId="55C028C3" w14:textId="77777777" w:rsidR="00DE1871" w:rsidRPr="00754466" w:rsidRDefault="005B0FD7">
      <w:pPr>
        <w:rPr>
          <w:sz w:val="22"/>
        </w:rPr>
      </w:pPr>
    </w:p>
    <w:sectPr w:rsidR="00DE1871" w:rsidRPr="00754466" w:rsidSect="00754466">
      <w:pgSz w:w="11900" w:h="16840"/>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webkit-standard">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2F5"/>
    <w:rsid w:val="002208E6"/>
    <w:rsid w:val="005B0FD7"/>
    <w:rsid w:val="005D55F4"/>
    <w:rsid w:val="00754466"/>
    <w:rsid w:val="00A85C13"/>
    <w:rsid w:val="00AD1304"/>
    <w:rsid w:val="00BC02F5"/>
    <w:rsid w:val="00CE1F3D"/>
    <w:rsid w:val="00DA26EA"/>
    <w:rsid w:val="00E32CEF"/>
    <w:rsid w:val="00E634EC"/>
    <w:rsid w:val="00F364FD"/>
  </w:rsids>
  <m:mathPr>
    <m:mathFont m:val="Cambria Math"/>
    <m:brkBin m:val="before"/>
    <m:brkBinSub m:val="--"/>
    <m:smallFrac m:val="0"/>
    <m:dispDef/>
    <m:lMargin m:val="0"/>
    <m:rMargin m:val="0"/>
    <m:defJc m:val="centerGroup"/>
    <m:wrapIndent m:val="1440"/>
    <m:intLim m:val="subSup"/>
    <m:naryLim m:val="undOvr"/>
  </m:mathPr>
  <w:themeFontLang w:val="es-EC"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762684C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02">
    <w:name w:val="texto02"/>
    <w:basedOn w:val="Normal"/>
    <w:rsid w:val="00BC02F5"/>
    <w:pPr>
      <w:spacing w:before="100" w:beforeAutospacing="1" w:after="100" w:afterAutospacing="1"/>
    </w:pPr>
    <w:rPr>
      <w:rFonts w:ascii="Times New Roman" w:hAnsi="Times New Roman" w:cs="Times New Roman"/>
      <w:lang w:eastAsia="es-ES_tradnl"/>
    </w:rPr>
  </w:style>
  <w:style w:type="character" w:styleId="Textoennegrita">
    <w:name w:val="Strong"/>
    <w:basedOn w:val="Fuentedeprrafopredeter"/>
    <w:uiPriority w:val="22"/>
    <w:qFormat/>
    <w:rsid w:val="00BC02F5"/>
    <w:rPr>
      <w:b/>
      <w:bCs/>
    </w:rPr>
  </w:style>
  <w:style w:type="character" w:customStyle="1" w:styleId="texto021">
    <w:name w:val="texto021"/>
    <w:basedOn w:val="Fuentedeprrafopredeter"/>
    <w:rsid w:val="00BC02F5"/>
  </w:style>
  <w:style w:type="character" w:customStyle="1" w:styleId="apple-converted-space">
    <w:name w:val="apple-converted-space"/>
    <w:basedOn w:val="Fuentedeprrafopredeter"/>
    <w:rsid w:val="00BC02F5"/>
  </w:style>
  <w:style w:type="character" w:styleId="Hipervnculo">
    <w:name w:val="Hyperlink"/>
    <w:basedOn w:val="Fuentedeprrafopredeter"/>
    <w:uiPriority w:val="99"/>
    <w:unhideWhenUsed/>
    <w:rsid w:val="00BC02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387582">
      <w:bodyDiv w:val="1"/>
      <w:marLeft w:val="0"/>
      <w:marRight w:val="0"/>
      <w:marTop w:val="0"/>
      <w:marBottom w:val="0"/>
      <w:divBdr>
        <w:top w:val="none" w:sz="0" w:space="0" w:color="auto"/>
        <w:left w:val="none" w:sz="0" w:space="0" w:color="auto"/>
        <w:bottom w:val="none" w:sz="0" w:space="0" w:color="auto"/>
        <w:right w:val="none" w:sz="0" w:space="0" w:color="auto"/>
      </w:divBdr>
      <w:divsChild>
        <w:div w:id="2147308204">
          <w:marLeft w:val="0"/>
          <w:marRight w:val="0"/>
          <w:marTop w:val="0"/>
          <w:marBottom w:val="0"/>
          <w:divBdr>
            <w:top w:val="none" w:sz="0" w:space="0" w:color="auto"/>
            <w:left w:val="none" w:sz="0" w:space="0" w:color="auto"/>
            <w:bottom w:val="none" w:sz="0" w:space="0" w:color="auto"/>
            <w:right w:val="none" w:sz="0" w:space="0" w:color="auto"/>
          </w:divBdr>
        </w:div>
        <w:div w:id="625477027">
          <w:marLeft w:val="0"/>
          <w:marRight w:val="0"/>
          <w:marTop w:val="0"/>
          <w:marBottom w:val="0"/>
          <w:divBdr>
            <w:top w:val="none" w:sz="0" w:space="0" w:color="auto"/>
            <w:left w:val="none" w:sz="0" w:space="0" w:color="auto"/>
            <w:bottom w:val="none" w:sz="0" w:space="0" w:color="auto"/>
            <w:right w:val="none" w:sz="0" w:space="0" w:color="auto"/>
          </w:divBdr>
        </w:div>
        <w:div w:id="1045522325">
          <w:marLeft w:val="0"/>
          <w:marRight w:val="0"/>
          <w:marTop w:val="0"/>
          <w:marBottom w:val="0"/>
          <w:divBdr>
            <w:top w:val="none" w:sz="0" w:space="0" w:color="auto"/>
            <w:left w:val="none" w:sz="0" w:space="0" w:color="auto"/>
            <w:bottom w:val="none" w:sz="0" w:space="0" w:color="auto"/>
            <w:right w:val="none" w:sz="0" w:space="0" w:color="auto"/>
          </w:divBdr>
        </w:div>
        <w:div w:id="1464733818">
          <w:marLeft w:val="0"/>
          <w:marRight w:val="0"/>
          <w:marTop w:val="0"/>
          <w:marBottom w:val="0"/>
          <w:divBdr>
            <w:top w:val="none" w:sz="0" w:space="0" w:color="auto"/>
            <w:left w:val="none" w:sz="0" w:space="0" w:color="auto"/>
            <w:bottom w:val="none" w:sz="0" w:space="0" w:color="auto"/>
            <w:right w:val="none" w:sz="0" w:space="0" w:color="auto"/>
          </w:divBdr>
        </w:div>
        <w:div w:id="895161388">
          <w:marLeft w:val="0"/>
          <w:marRight w:val="0"/>
          <w:marTop w:val="0"/>
          <w:marBottom w:val="0"/>
          <w:divBdr>
            <w:top w:val="none" w:sz="0" w:space="0" w:color="auto"/>
            <w:left w:val="none" w:sz="0" w:space="0" w:color="auto"/>
            <w:bottom w:val="none" w:sz="0" w:space="0" w:color="auto"/>
            <w:right w:val="none" w:sz="0" w:space="0" w:color="auto"/>
          </w:divBdr>
        </w:div>
        <w:div w:id="1745833088">
          <w:marLeft w:val="0"/>
          <w:marRight w:val="0"/>
          <w:marTop w:val="0"/>
          <w:marBottom w:val="0"/>
          <w:divBdr>
            <w:top w:val="none" w:sz="0" w:space="0" w:color="auto"/>
            <w:left w:val="none" w:sz="0" w:space="0" w:color="auto"/>
            <w:bottom w:val="none" w:sz="0" w:space="0" w:color="auto"/>
            <w:right w:val="none" w:sz="0" w:space="0" w:color="auto"/>
          </w:divBdr>
        </w:div>
        <w:div w:id="150374123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mueveteporlaigualdad.org/marco/n_marco_int.asp"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hyperlink" Target="http://www1.umn.edu/humanrts/instree/spanish/se3dpwcea.html" TargetMode="External"/><Relationship Id="rId6" Type="http://schemas.openxmlformats.org/officeDocument/2006/relationships/hyperlink" Target="http://www1.umn.edu/humanrts/instree/spanish/se1cedaw.html" TargetMode="External"/><Relationship Id="rId7" Type="http://schemas.openxmlformats.org/officeDocument/2006/relationships/hyperlink" Target="http://www.unhchr.ch/huridocda/huridoca.nsf/(Symbol)/A.RES.48.104.Sp?Opendocument" TargetMode="External"/><Relationship Id="rId8" Type="http://schemas.openxmlformats.org/officeDocument/2006/relationships/hyperlink" Target="http://www.oas.org/juridico/spanish/Tratados/a-61.html" TargetMode="External"/><Relationship Id="rId9" Type="http://schemas.openxmlformats.org/officeDocument/2006/relationships/hyperlink" Target="http://www.cinu.org.mx/biblioteca/documentos/dh/c_elim_disc_mutxt.htm" TargetMode="External"/><Relationship Id="rId10" Type="http://schemas.openxmlformats.org/officeDocument/2006/relationships/hyperlink" Target="http://www.eclac.cl/mujer/publicaciones/sinsigla/xml/3/6193/Plataforma.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671</Words>
  <Characters>3695</Characters>
  <Application>Microsoft Macintosh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Myriam Perez</dc:creator>
  <cp:keywords/>
  <dc:description/>
  <cp:lastModifiedBy>Myriam Perez</cp:lastModifiedBy>
  <cp:revision>5</cp:revision>
  <dcterms:created xsi:type="dcterms:W3CDTF">2017-03-24T03:39:00Z</dcterms:created>
  <dcterms:modified xsi:type="dcterms:W3CDTF">2017-03-24T03:49:00Z</dcterms:modified>
</cp:coreProperties>
</file>